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94146E">
        <w:t>Dynamic Coverage Class Update</w:t>
      </w:r>
    </w:p>
    <w:p w:rsidR="003B5A41" w:rsidRDefault="008317F7" w:rsidP="003B5A41">
      <w:pPr>
        <w:pStyle w:val="Heading1"/>
        <w:rPr>
          <w:lang w:val="sv-SE"/>
        </w:rPr>
      </w:pPr>
      <w:r>
        <w:rPr>
          <w:lang w:val="sv-SE"/>
        </w:rPr>
        <w:t>Introduction</w:t>
      </w:r>
    </w:p>
    <w:p w:rsidR="008317F7" w:rsidRDefault="008317F7" w:rsidP="008317F7">
      <w:pPr>
        <w:pStyle w:val="BodyText"/>
      </w:pPr>
      <w:r>
        <w:t xml:space="preserve">At GERAN#62 a new feasibility study named </w:t>
      </w:r>
      <w:r w:rsidRPr="00061930">
        <w:rPr>
          <w:i/>
        </w:rPr>
        <w:t>Cellular System Support for Ultra Low Complexity and Low Throughput Internet of Things</w:t>
      </w:r>
      <w:r>
        <w:t xml:space="preserve"> </w:t>
      </w:r>
      <w:r w:rsidR="00717D43">
        <w:t xml:space="preserve"> </w:t>
      </w:r>
      <w:r w:rsidR="00717D43">
        <w:fldChar w:fldCharType="begin"/>
      </w:r>
      <w:r w:rsidR="00717D43">
        <w:instrText xml:space="preserve"> REF _Ref397674406 \r \h </w:instrText>
      </w:r>
      <w:r w:rsidR="00717D43">
        <w:fldChar w:fldCharType="separate"/>
      </w:r>
      <w:r w:rsidR="00135554">
        <w:t>[1]</w:t>
      </w:r>
      <w:r w:rsidR="00717D43">
        <w:fldChar w:fldCharType="end"/>
      </w:r>
      <w:r w:rsidR="00717D43">
        <w:t xml:space="preserve"> </w:t>
      </w:r>
      <w:r>
        <w:t xml:space="preserve">(WI code: </w:t>
      </w:r>
      <w:proofErr w:type="spellStart"/>
      <w:r w:rsidRPr="003F6188">
        <w:t>FS_IoT_LC</w:t>
      </w:r>
      <w:proofErr w:type="spellEnd"/>
      <w:r w:rsidRPr="003F6188">
        <w:t>)</w:t>
      </w:r>
      <w:r w:rsidR="00717D43">
        <w:t xml:space="preserve">  was approved</w:t>
      </w:r>
      <w:r>
        <w:t>.</w:t>
      </w:r>
    </w:p>
    <w:p w:rsidR="006D299E" w:rsidRDefault="006D299E" w:rsidP="00AF2933">
      <w:pPr>
        <w:pStyle w:val="BodyText"/>
      </w:pPr>
      <w:r w:rsidRPr="0076227A">
        <w:t xml:space="preserve">One of the main objectives is to increase the coverage compared to existing GPRS services. </w:t>
      </w:r>
    </w:p>
    <w:p w:rsidR="00846422" w:rsidRDefault="00846422" w:rsidP="00AF2933">
      <w:pPr>
        <w:pStyle w:val="BodyText"/>
      </w:pPr>
      <w:r>
        <w:t>This contribution outlines a procedure that ensures t</w:t>
      </w:r>
      <w:r>
        <w:rPr>
          <w:lang w:val="en-GB"/>
        </w:rPr>
        <w:t xml:space="preserve">hat the SGSN always sends a paging request to the BSS indicating a coverage class sufficient (equal to or higher than estimated by the device) for the BSS to be able to successfully page the device. </w:t>
      </w:r>
      <w:r>
        <w:t>Even though all of the reasoning below is conducted in the scope of EC-GSM the solutions are applicable to all candidate solutions.</w:t>
      </w:r>
    </w:p>
    <w:p w:rsidR="00846422" w:rsidRPr="0076227A" w:rsidRDefault="00846422" w:rsidP="00E33A92">
      <w:pPr>
        <w:pStyle w:val="Heading1"/>
      </w:pPr>
      <w:r>
        <w:t>Determination of paging group</w:t>
      </w:r>
    </w:p>
    <w:p w:rsidR="000054A2" w:rsidRDefault="000054A2" w:rsidP="00E33A92">
      <w:pPr>
        <w:pStyle w:val="BodyText"/>
      </w:pPr>
      <w:r w:rsidRPr="00500D27">
        <w:t>When paging an EC-GSM</w:t>
      </w:r>
      <w:r>
        <w:t xml:space="preserve"> </w:t>
      </w:r>
      <w:r w:rsidRPr="00500D27">
        <w:t>device</w:t>
      </w:r>
      <w:r>
        <w:t>,</w:t>
      </w:r>
      <w:r w:rsidRPr="00500D27">
        <w:t xml:space="preserve"> in order to determine the specific set of EC-PCH blocks to use to send the page</w:t>
      </w:r>
      <w:r w:rsidR="00735682">
        <w:t>,</w:t>
      </w:r>
      <w:r w:rsidRPr="00500D27">
        <w:t xml:space="preserve"> the BSS needs to know</w:t>
      </w:r>
      <w:r>
        <w:t>:</w:t>
      </w:r>
    </w:p>
    <w:p w:rsidR="000054A2" w:rsidRDefault="000054A2" w:rsidP="000054A2">
      <w:pPr>
        <w:pStyle w:val="ListParagraph"/>
        <w:numPr>
          <w:ilvl w:val="0"/>
          <w:numId w:val="24"/>
        </w:numPr>
      </w:pPr>
      <w:r w:rsidRPr="00500D27">
        <w:t>the eDRX cycle</w:t>
      </w:r>
    </w:p>
    <w:p w:rsidR="000054A2" w:rsidRDefault="000054A2" w:rsidP="000054A2">
      <w:pPr>
        <w:pStyle w:val="ListParagraph"/>
        <w:numPr>
          <w:ilvl w:val="0"/>
          <w:numId w:val="24"/>
        </w:numPr>
      </w:pPr>
      <w:r w:rsidRPr="00500D27">
        <w:t>the downlink coverage class (DL CC)</w:t>
      </w:r>
      <w:r>
        <w:t>,</w:t>
      </w:r>
      <w:r w:rsidRPr="00500D27">
        <w:t xml:space="preserve"> and</w:t>
      </w:r>
      <w:r>
        <w:t>,</w:t>
      </w:r>
      <w:r w:rsidRPr="00500D27">
        <w:t xml:space="preserve"> </w:t>
      </w:r>
    </w:p>
    <w:p w:rsidR="000054A2" w:rsidRDefault="000054A2" w:rsidP="000054A2">
      <w:pPr>
        <w:pStyle w:val="ListParagraph"/>
        <w:numPr>
          <w:ilvl w:val="0"/>
          <w:numId w:val="24"/>
        </w:numPr>
      </w:pPr>
      <w:proofErr w:type="gramStart"/>
      <w:r w:rsidRPr="00500D27">
        <w:t>the</w:t>
      </w:r>
      <w:proofErr w:type="gramEnd"/>
      <w:r w:rsidRPr="00500D27">
        <w:t xml:space="preserve"> IMSI of the device. </w:t>
      </w:r>
    </w:p>
    <w:p w:rsidR="000054A2" w:rsidRDefault="000054A2" w:rsidP="00E33A92">
      <w:pPr>
        <w:pStyle w:val="BodyText"/>
      </w:pPr>
      <w:r w:rsidRPr="00500D27">
        <w:t>The coverage class is estimated by the device and communicated to the network</w:t>
      </w:r>
      <w:r>
        <w:t xml:space="preserve"> </w:t>
      </w:r>
      <w:r>
        <w:fldChar w:fldCharType="begin"/>
      </w:r>
      <w:r>
        <w:instrText xml:space="preserve"> REF _Ref410118361 \r \h </w:instrText>
      </w:r>
      <w:r w:rsidR="00846422">
        <w:instrText xml:space="preserve"> \* MERGEFORMAT </w:instrText>
      </w:r>
      <w:r>
        <w:fldChar w:fldCharType="separate"/>
      </w:r>
      <w:r w:rsidR="00135554">
        <w:t>[2]</w:t>
      </w:r>
      <w:r>
        <w:fldChar w:fldCharType="end"/>
      </w:r>
      <w:r w:rsidRPr="00500D27">
        <w:t xml:space="preserve">, and will determine the number of paging resources (EC-PCH blocks) required to be sent when paging the device (in order for the network to reach it). </w:t>
      </w:r>
    </w:p>
    <w:p w:rsidR="000054A2" w:rsidRDefault="000054A2" w:rsidP="00E33A92">
      <w:pPr>
        <w:pStyle w:val="BodyText"/>
      </w:pPr>
      <w:r w:rsidRPr="00500D27">
        <w:t>Even though EC-GSM devices are expected to provide the SGSN with their estimated DL CC within</w:t>
      </w:r>
      <w:r>
        <w:t>,</w:t>
      </w:r>
      <w:r w:rsidRPr="00500D27">
        <w:t xml:space="preserve"> </w:t>
      </w:r>
      <w:r>
        <w:t xml:space="preserve">for example, </w:t>
      </w:r>
      <w:r w:rsidRPr="00500D27">
        <w:t>the context of the RAU procedure</w:t>
      </w:r>
      <w:r>
        <w:t>,</w:t>
      </w:r>
      <w:r w:rsidRPr="00500D27">
        <w:t xml:space="preserve"> there remains the possibility that devices will change their estimated DL CC at any time between any </w:t>
      </w:r>
      <w:r>
        <w:t>two such</w:t>
      </w:r>
      <w:r w:rsidRPr="00500D27">
        <w:t xml:space="preserve"> successive procedures. </w:t>
      </w:r>
    </w:p>
    <w:p w:rsidR="000054A2" w:rsidRDefault="00846422" w:rsidP="00E33A92">
      <w:pPr>
        <w:pStyle w:val="BodyText"/>
      </w:pPr>
      <w:r>
        <w:t xml:space="preserve">For more details see, </w:t>
      </w:r>
      <w:r>
        <w:fldChar w:fldCharType="begin"/>
      </w:r>
      <w:r>
        <w:instrText xml:space="preserve"> REF _Ref410173244 \r \h  \* MERGEFORMAT </w:instrText>
      </w:r>
      <w:r>
        <w:fldChar w:fldCharType="separate"/>
      </w:r>
      <w:r>
        <w:t>[6]</w:t>
      </w:r>
      <w:r>
        <w:fldChar w:fldCharType="end"/>
      </w:r>
      <w:r>
        <w:t>.</w:t>
      </w:r>
    </w:p>
    <w:p w:rsidR="006D299E" w:rsidRDefault="000054A2" w:rsidP="0016449D">
      <w:pPr>
        <w:pStyle w:val="Heading1"/>
      </w:pPr>
      <w:r>
        <w:t>Methods</w:t>
      </w:r>
      <w:r w:rsidR="00C339F5">
        <w:t xml:space="preserve"> for Updating DL coverage class</w:t>
      </w:r>
    </w:p>
    <w:p w:rsidR="00C339F5" w:rsidRPr="005B3D27" w:rsidRDefault="00C339F5" w:rsidP="00E33A92">
      <w:pPr>
        <w:pStyle w:val="Heading2"/>
      </w:pPr>
      <w:r w:rsidRPr="005B3D27">
        <w:t>Pre-Paging Group Update of DL CC</w:t>
      </w:r>
    </w:p>
    <w:p w:rsidR="00846422" w:rsidRDefault="00C339F5" w:rsidP="00E33A92">
      <w:pPr>
        <w:pStyle w:val="BodyText"/>
      </w:pPr>
      <w:r>
        <w:t xml:space="preserve">Whenever the coverage class of the device </w:t>
      </w:r>
      <w:r w:rsidRPr="00DD320E">
        <w:t xml:space="preserve">has deteriorated such that the EC-GSM device will not be able to decode the paging message using the </w:t>
      </w:r>
      <w:r>
        <w:t>coverage class last provided to the SGSN it is proposed to use the Cell</w:t>
      </w:r>
      <w:r w:rsidRPr="00DD320E">
        <w:t xml:space="preserve"> </w:t>
      </w:r>
      <w:r w:rsidR="000008A8">
        <w:t xml:space="preserve">update procedure which requires the transmission of only a single RLC data block and is therefore a power efficient way of triggering a DL CC update in the SGSN. </w:t>
      </w:r>
    </w:p>
    <w:p w:rsidR="00846422" w:rsidRDefault="000008A8" w:rsidP="00E33A92">
      <w:pPr>
        <w:pStyle w:val="BodyText"/>
      </w:pPr>
      <w:r>
        <w:t>Furthermore, t</w:t>
      </w:r>
      <w:r w:rsidR="00C339F5" w:rsidRPr="00DD320E">
        <w:t>o reduce the possibility of excessive signaling</w:t>
      </w:r>
      <w:r>
        <w:t xml:space="preserve"> between a device and the SGSN it </w:t>
      </w:r>
      <w:r w:rsidR="00C339F5" w:rsidRPr="00DD320E">
        <w:t xml:space="preserve">can wait until shortly before (e.g. 5 seconds) the next occurrence of its nominal paging </w:t>
      </w:r>
      <w:r w:rsidR="00C339F5" w:rsidRPr="00DD320E">
        <w:lastRenderedPageBreak/>
        <w:t>group (i.e. based on its current DL CC) before performing a cell update that conveys its new DL CC to the SGSN</w:t>
      </w:r>
      <w:r w:rsidR="00C339F5">
        <w:t xml:space="preserve">. </w:t>
      </w:r>
    </w:p>
    <w:p w:rsidR="00C339F5" w:rsidRDefault="00C339F5" w:rsidP="00E33A92">
      <w:pPr>
        <w:pStyle w:val="BodyText"/>
      </w:pPr>
      <w:r>
        <w:t>In addition, having a device wait until just before the next occurrence of its nominal paging group to finally decide that its DL CC needs to be changed ensures that the cell update will be used as sparingly as possible</w:t>
      </w:r>
      <w:r w:rsidR="00135554">
        <w:t xml:space="preserve">. </w:t>
      </w:r>
      <w:r>
        <w:t xml:space="preserve"> This solution is required whenever a device changes to a higher coverage class (requiring more </w:t>
      </w:r>
      <w:r w:rsidRPr="00490541">
        <w:t xml:space="preserve">blind repetitions) in order for the device to be able to (to a high degree of probability) read a page that may have been sent using its nominal paging group. This does not guarantee that a device will always be able to read a page sent using the nominal paging group indicated by its recently transmitted cell update </w:t>
      </w:r>
      <w:r w:rsidR="00846422">
        <w:t xml:space="preserve">(e.g. in case the network addresses multiple devices of a lower coverage class during the expected paging group) </w:t>
      </w:r>
      <w:r w:rsidRPr="00490541">
        <w:t>but will reduce the probability of missing a page to the point where secondary paging mechanisms are not seen as being necessary.</w:t>
      </w:r>
    </w:p>
    <w:p w:rsidR="00135554" w:rsidRDefault="006849BD" w:rsidP="00E33A92">
      <w:pPr>
        <w:pStyle w:val="Heading3"/>
      </w:pPr>
      <w:r>
        <w:t>Impacts on S</w:t>
      </w:r>
      <w:r w:rsidR="00135554">
        <w:t>ignaling</w:t>
      </w:r>
    </w:p>
    <w:p w:rsidR="00135554" w:rsidRDefault="00135554" w:rsidP="00135554">
      <w:pPr>
        <w:pStyle w:val="BodyText"/>
      </w:pPr>
      <w:r>
        <w:t xml:space="preserve">Using the Cell change procedure to update the DL coverage class just prior to the nominal paging occurrence will increase </w:t>
      </w:r>
      <w:r w:rsidR="006849BD">
        <w:t>the</w:t>
      </w:r>
      <w:r>
        <w:t xml:space="preserve"> signaling load.  </w:t>
      </w:r>
      <w:r w:rsidR="006849BD">
        <w:t xml:space="preserve">In this section, </w:t>
      </w:r>
      <w:r>
        <w:t>th</w:t>
      </w:r>
      <w:r w:rsidR="00FC76F3">
        <w:t xml:space="preserve">e impacts are analyzed where it is assumed that each cell update will result in 1 Channel Request and 1 Immediate Assignment message. </w:t>
      </w:r>
    </w:p>
    <w:p w:rsidR="006849BD" w:rsidRDefault="00135554" w:rsidP="00135554">
      <w:pPr>
        <w:pStyle w:val="BodyText"/>
      </w:pPr>
      <w:r>
        <w:t>The assumptions</w:t>
      </w:r>
      <w:r w:rsidR="00551D23">
        <w:t xml:space="preserve">, taken from the agreed traffic model </w:t>
      </w:r>
      <w:r w:rsidR="00551D23">
        <w:fldChar w:fldCharType="begin"/>
      </w:r>
      <w:r w:rsidR="00551D23">
        <w:instrText xml:space="preserve"> REF _Ref410120913 \r \h </w:instrText>
      </w:r>
      <w:r w:rsidR="00551D23">
        <w:fldChar w:fldCharType="separate"/>
      </w:r>
      <w:r w:rsidR="00551D23">
        <w:t>[3]</w:t>
      </w:r>
      <w:r w:rsidR="00551D23">
        <w:fldChar w:fldCharType="end"/>
      </w:r>
      <w:r w:rsidR="00551D23">
        <w:t xml:space="preserve">, </w:t>
      </w:r>
      <w:r>
        <w:t>used to</w:t>
      </w:r>
      <w:r w:rsidR="006849BD">
        <w:t xml:space="preserve"> estimate the additional signaling load is summarized in table 1 below. </w:t>
      </w:r>
      <w:r w:rsidR="00551D23">
        <w:t xml:space="preserve"> Using the agreed traffic model the </w:t>
      </w:r>
      <w:r w:rsidR="006C0391">
        <w:t>over</w:t>
      </w:r>
      <w:r w:rsidR="00C47610">
        <w:t xml:space="preserve">all arrival rate on </w:t>
      </w:r>
      <w:r w:rsidR="00551D23">
        <w:t>the RACH and AGCH can be calculated to be</w:t>
      </w:r>
      <w:r w:rsidR="00C47610">
        <w:t xml:space="preserve"> </w:t>
      </w:r>
      <w:proofErr w:type="gramStart"/>
      <w:r w:rsidR="00C47610">
        <w:t>6.8 access/sec</w:t>
      </w:r>
      <w:proofErr w:type="gramEnd"/>
      <w:r w:rsidR="00C47610">
        <w:t>.</w:t>
      </w:r>
    </w:p>
    <w:p w:rsidR="00C47610" w:rsidRPr="00C47610" w:rsidRDefault="00C47610" w:rsidP="00C47610">
      <w:pPr>
        <w:pStyle w:val="BodyText"/>
        <w:tabs>
          <w:tab w:val="left" w:pos="2566"/>
        </w:tabs>
        <w:jc w:val="center"/>
        <w:rPr>
          <w:b/>
        </w:rPr>
      </w:pPr>
      <w:r w:rsidRPr="00C47610">
        <w:rPr>
          <w:b/>
        </w:rPr>
        <w:t>Table 1, parameters used to calculate impacts on signaling</w:t>
      </w:r>
    </w:p>
    <w:tbl>
      <w:tblPr>
        <w:tblStyle w:val="TableGrid"/>
        <w:tblW w:w="0" w:type="auto"/>
        <w:jc w:val="center"/>
        <w:tblLook w:val="04A0" w:firstRow="1" w:lastRow="0" w:firstColumn="1" w:lastColumn="0" w:noHBand="0" w:noVBand="1"/>
      </w:tblPr>
      <w:tblGrid>
        <w:gridCol w:w="2249"/>
        <w:gridCol w:w="2020"/>
        <w:gridCol w:w="2331"/>
        <w:gridCol w:w="1884"/>
      </w:tblGrid>
      <w:tr w:rsidR="006849BD" w:rsidTr="006849BD">
        <w:trPr>
          <w:jc w:val="center"/>
        </w:trPr>
        <w:tc>
          <w:tcPr>
            <w:tcW w:w="2249" w:type="dxa"/>
          </w:tcPr>
          <w:p w:rsidR="006849BD" w:rsidRPr="00687CDA" w:rsidRDefault="006849BD" w:rsidP="006849BD">
            <w:pPr>
              <w:pStyle w:val="BodyText"/>
              <w:jc w:val="center"/>
              <w:rPr>
                <w:sz w:val="20"/>
              </w:rPr>
            </w:pPr>
          </w:p>
        </w:tc>
        <w:tc>
          <w:tcPr>
            <w:tcW w:w="2020" w:type="dxa"/>
          </w:tcPr>
          <w:p w:rsidR="006849BD" w:rsidRPr="00687CDA" w:rsidRDefault="00C47610" w:rsidP="00C47610">
            <w:pPr>
              <w:pStyle w:val="BodyText"/>
              <w:jc w:val="center"/>
              <w:rPr>
                <w:sz w:val="20"/>
              </w:rPr>
            </w:pPr>
            <w:r w:rsidRPr="00687CDA">
              <w:rPr>
                <w:sz w:val="20"/>
              </w:rPr>
              <w:t>Value</w:t>
            </w:r>
          </w:p>
        </w:tc>
        <w:tc>
          <w:tcPr>
            <w:tcW w:w="2331" w:type="dxa"/>
          </w:tcPr>
          <w:p w:rsidR="006849BD" w:rsidRPr="00687CDA" w:rsidRDefault="006849BD" w:rsidP="00135554">
            <w:pPr>
              <w:pStyle w:val="BodyText"/>
              <w:rPr>
                <w:sz w:val="20"/>
              </w:rPr>
            </w:pPr>
          </w:p>
        </w:tc>
        <w:tc>
          <w:tcPr>
            <w:tcW w:w="1884" w:type="dxa"/>
          </w:tcPr>
          <w:p w:rsidR="006849BD" w:rsidRPr="00687CDA" w:rsidRDefault="006849BD" w:rsidP="00135554">
            <w:pPr>
              <w:pStyle w:val="BodyText"/>
              <w:rPr>
                <w:sz w:val="20"/>
              </w:rPr>
            </w:pPr>
          </w:p>
        </w:tc>
      </w:tr>
      <w:tr w:rsidR="006849BD" w:rsidTr="006849BD">
        <w:trPr>
          <w:jc w:val="center"/>
        </w:trPr>
        <w:tc>
          <w:tcPr>
            <w:tcW w:w="2249" w:type="dxa"/>
          </w:tcPr>
          <w:p w:rsidR="006849BD" w:rsidRPr="00687CDA" w:rsidRDefault="006849BD" w:rsidP="00135554">
            <w:pPr>
              <w:pStyle w:val="BodyText"/>
              <w:rPr>
                <w:sz w:val="20"/>
              </w:rPr>
            </w:pPr>
            <w:r w:rsidRPr="00687CDA">
              <w:rPr>
                <w:sz w:val="20"/>
              </w:rPr>
              <w:t>Number of devices per cell</w:t>
            </w:r>
          </w:p>
        </w:tc>
        <w:tc>
          <w:tcPr>
            <w:tcW w:w="2020" w:type="dxa"/>
          </w:tcPr>
          <w:p w:rsidR="006849BD" w:rsidRPr="00687CDA" w:rsidRDefault="006849BD" w:rsidP="00C47610">
            <w:pPr>
              <w:pStyle w:val="BodyText"/>
              <w:jc w:val="center"/>
              <w:rPr>
                <w:sz w:val="20"/>
              </w:rPr>
            </w:pPr>
            <w:r w:rsidRPr="00687CDA">
              <w:rPr>
                <w:sz w:val="20"/>
              </w:rPr>
              <w:t>52</w:t>
            </w:r>
            <w:r w:rsidR="00FC76F3" w:rsidRPr="00687CDA">
              <w:rPr>
                <w:sz w:val="20"/>
              </w:rPr>
              <w:t xml:space="preserve"> 547</w:t>
            </w:r>
          </w:p>
        </w:tc>
        <w:tc>
          <w:tcPr>
            <w:tcW w:w="2331" w:type="dxa"/>
          </w:tcPr>
          <w:p w:rsidR="006849BD" w:rsidRPr="00687CDA" w:rsidRDefault="006849BD" w:rsidP="006849BD">
            <w:pPr>
              <w:pStyle w:val="BodyText"/>
              <w:jc w:val="center"/>
              <w:rPr>
                <w:sz w:val="20"/>
              </w:rPr>
            </w:pPr>
          </w:p>
        </w:tc>
        <w:tc>
          <w:tcPr>
            <w:tcW w:w="1884" w:type="dxa"/>
          </w:tcPr>
          <w:p w:rsidR="006849BD" w:rsidRPr="00687CDA" w:rsidRDefault="006849BD" w:rsidP="006849BD">
            <w:pPr>
              <w:pStyle w:val="BodyText"/>
              <w:jc w:val="center"/>
              <w:rPr>
                <w:sz w:val="20"/>
              </w:rPr>
            </w:pPr>
          </w:p>
        </w:tc>
      </w:tr>
      <w:tr w:rsidR="00551D23" w:rsidTr="006849BD">
        <w:trPr>
          <w:jc w:val="center"/>
        </w:trPr>
        <w:tc>
          <w:tcPr>
            <w:tcW w:w="2249" w:type="dxa"/>
          </w:tcPr>
          <w:p w:rsidR="00551D23" w:rsidRPr="00687CDA" w:rsidRDefault="00551D23" w:rsidP="00135554">
            <w:pPr>
              <w:pStyle w:val="BodyText"/>
              <w:rPr>
                <w:sz w:val="20"/>
              </w:rPr>
            </w:pPr>
            <w:r w:rsidRPr="00687CDA">
              <w:rPr>
                <w:sz w:val="20"/>
              </w:rPr>
              <w:t>Seconds per day</w:t>
            </w:r>
          </w:p>
        </w:tc>
        <w:tc>
          <w:tcPr>
            <w:tcW w:w="2020" w:type="dxa"/>
          </w:tcPr>
          <w:p w:rsidR="00551D23" w:rsidRPr="00687CDA" w:rsidRDefault="00551D23" w:rsidP="00C47610">
            <w:pPr>
              <w:pStyle w:val="BodyText"/>
              <w:jc w:val="center"/>
              <w:rPr>
                <w:sz w:val="20"/>
              </w:rPr>
            </w:pPr>
            <w:r w:rsidRPr="00687CDA">
              <w:rPr>
                <w:sz w:val="20"/>
              </w:rPr>
              <w:t>86400</w:t>
            </w:r>
          </w:p>
        </w:tc>
        <w:tc>
          <w:tcPr>
            <w:tcW w:w="2331" w:type="dxa"/>
          </w:tcPr>
          <w:p w:rsidR="00551D23" w:rsidRPr="00687CDA" w:rsidRDefault="00C47610" w:rsidP="00C47610">
            <w:pPr>
              <w:pStyle w:val="BodyText"/>
              <w:tabs>
                <w:tab w:val="left" w:pos="444"/>
                <w:tab w:val="left" w:pos="682"/>
              </w:tabs>
              <w:jc w:val="left"/>
              <w:rPr>
                <w:sz w:val="20"/>
              </w:rPr>
            </w:pPr>
            <w:r w:rsidRPr="00687CDA">
              <w:rPr>
                <w:sz w:val="20"/>
              </w:rPr>
              <w:tab/>
            </w:r>
          </w:p>
        </w:tc>
        <w:tc>
          <w:tcPr>
            <w:tcW w:w="1884" w:type="dxa"/>
          </w:tcPr>
          <w:p w:rsidR="00551D23" w:rsidRPr="00687CDA" w:rsidRDefault="00551D23" w:rsidP="006849BD">
            <w:pPr>
              <w:pStyle w:val="BodyText"/>
              <w:tabs>
                <w:tab w:val="left" w:pos="682"/>
              </w:tabs>
              <w:jc w:val="center"/>
              <w:rPr>
                <w:sz w:val="20"/>
              </w:rPr>
            </w:pPr>
          </w:p>
        </w:tc>
      </w:tr>
      <w:tr w:rsidR="006849BD" w:rsidTr="006849BD">
        <w:trPr>
          <w:jc w:val="center"/>
        </w:trPr>
        <w:tc>
          <w:tcPr>
            <w:tcW w:w="2249" w:type="dxa"/>
          </w:tcPr>
          <w:p w:rsidR="006849BD" w:rsidRPr="00687CDA" w:rsidRDefault="006849BD" w:rsidP="00135554">
            <w:pPr>
              <w:pStyle w:val="BodyText"/>
              <w:rPr>
                <w:sz w:val="20"/>
              </w:rPr>
            </w:pPr>
            <w:r w:rsidRPr="00687CDA">
              <w:rPr>
                <w:sz w:val="20"/>
              </w:rPr>
              <w:t xml:space="preserve">Split of devices </w:t>
            </w:r>
            <w:r w:rsidR="00687CDA" w:rsidRPr="00687CDA">
              <w:rPr>
                <w:sz w:val="20"/>
              </w:rPr>
              <w:t xml:space="preserve">for Network Command </w:t>
            </w:r>
          </w:p>
        </w:tc>
        <w:tc>
          <w:tcPr>
            <w:tcW w:w="2020" w:type="dxa"/>
          </w:tcPr>
          <w:p w:rsidR="006849BD" w:rsidRPr="00687CDA" w:rsidRDefault="006849BD" w:rsidP="00C47610">
            <w:pPr>
              <w:pStyle w:val="BodyText"/>
              <w:jc w:val="center"/>
              <w:rPr>
                <w:sz w:val="20"/>
              </w:rPr>
            </w:pPr>
            <w:r w:rsidRPr="00687CDA">
              <w:rPr>
                <w:sz w:val="20"/>
              </w:rPr>
              <w:t>20%</w:t>
            </w:r>
          </w:p>
        </w:tc>
        <w:tc>
          <w:tcPr>
            <w:tcW w:w="2331" w:type="dxa"/>
          </w:tcPr>
          <w:p w:rsidR="006849BD" w:rsidRPr="00687CDA" w:rsidRDefault="006849BD" w:rsidP="006849BD">
            <w:pPr>
              <w:pStyle w:val="BodyText"/>
              <w:tabs>
                <w:tab w:val="left" w:pos="682"/>
              </w:tabs>
              <w:jc w:val="center"/>
              <w:rPr>
                <w:sz w:val="20"/>
              </w:rPr>
            </w:pPr>
          </w:p>
        </w:tc>
        <w:tc>
          <w:tcPr>
            <w:tcW w:w="1884" w:type="dxa"/>
          </w:tcPr>
          <w:p w:rsidR="006849BD" w:rsidRPr="00687CDA" w:rsidRDefault="006849BD" w:rsidP="006849BD">
            <w:pPr>
              <w:pStyle w:val="BodyText"/>
              <w:tabs>
                <w:tab w:val="left" w:pos="682"/>
              </w:tabs>
              <w:jc w:val="center"/>
              <w:rPr>
                <w:sz w:val="20"/>
              </w:rPr>
            </w:pPr>
          </w:p>
        </w:tc>
      </w:tr>
      <w:tr w:rsidR="006849BD" w:rsidTr="006849BD">
        <w:trPr>
          <w:jc w:val="center"/>
        </w:trPr>
        <w:tc>
          <w:tcPr>
            <w:tcW w:w="2249" w:type="dxa"/>
          </w:tcPr>
          <w:p w:rsidR="006849BD" w:rsidRPr="00687CDA" w:rsidRDefault="006849BD" w:rsidP="00C47610">
            <w:pPr>
              <w:pStyle w:val="BodyText"/>
              <w:rPr>
                <w:sz w:val="20"/>
              </w:rPr>
            </w:pPr>
            <w:r w:rsidRPr="00687CDA">
              <w:rPr>
                <w:sz w:val="20"/>
              </w:rPr>
              <w:t xml:space="preserve">Percentage </w:t>
            </w:r>
            <w:r w:rsidR="00687CDA" w:rsidRPr="00687CDA">
              <w:rPr>
                <w:sz w:val="20"/>
              </w:rPr>
              <w:t xml:space="preserve">of </w:t>
            </w:r>
            <w:r w:rsidR="00C47610" w:rsidRPr="00687CDA">
              <w:rPr>
                <w:sz w:val="20"/>
              </w:rPr>
              <w:t xml:space="preserve">paging occurrences requiring update of DL </w:t>
            </w:r>
            <w:r w:rsidRPr="00687CDA">
              <w:rPr>
                <w:sz w:val="20"/>
              </w:rPr>
              <w:t>coverage class</w:t>
            </w:r>
          </w:p>
        </w:tc>
        <w:tc>
          <w:tcPr>
            <w:tcW w:w="2020" w:type="dxa"/>
          </w:tcPr>
          <w:p w:rsidR="006849BD" w:rsidRPr="00687CDA" w:rsidRDefault="00551D23" w:rsidP="00C47610">
            <w:pPr>
              <w:pStyle w:val="BodyText"/>
              <w:jc w:val="center"/>
              <w:rPr>
                <w:sz w:val="20"/>
              </w:rPr>
            </w:pPr>
            <w:r w:rsidRPr="00687CDA">
              <w:rPr>
                <w:sz w:val="20"/>
              </w:rPr>
              <w:t>2</w:t>
            </w:r>
            <w:r w:rsidR="006849BD" w:rsidRPr="00687CDA">
              <w:rPr>
                <w:sz w:val="20"/>
              </w:rPr>
              <w:t>0%</w:t>
            </w:r>
            <w:r w:rsidR="00C47610" w:rsidRPr="00687CDA">
              <w:rPr>
                <w:sz w:val="20"/>
              </w:rPr>
              <w:t xml:space="preserve"> </w:t>
            </w:r>
          </w:p>
        </w:tc>
        <w:tc>
          <w:tcPr>
            <w:tcW w:w="2331" w:type="dxa"/>
          </w:tcPr>
          <w:p w:rsidR="006849BD" w:rsidRPr="00687CDA" w:rsidRDefault="006849BD" w:rsidP="006849BD">
            <w:pPr>
              <w:pStyle w:val="BodyText"/>
              <w:jc w:val="center"/>
              <w:rPr>
                <w:sz w:val="20"/>
              </w:rPr>
            </w:pPr>
          </w:p>
        </w:tc>
        <w:tc>
          <w:tcPr>
            <w:tcW w:w="1884" w:type="dxa"/>
          </w:tcPr>
          <w:p w:rsidR="006849BD" w:rsidRPr="00687CDA" w:rsidRDefault="006849BD" w:rsidP="006849BD">
            <w:pPr>
              <w:pStyle w:val="BodyText"/>
              <w:jc w:val="center"/>
              <w:rPr>
                <w:sz w:val="20"/>
              </w:rPr>
            </w:pPr>
          </w:p>
        </w:tc>
      </w:tr>
      <w:tr w:rsidR="00C47610" w:rsidTr="006849BD">
        <w:trPr>
          <w:jc w:val="center"/>
        </w:trPr>
        <w:tc>
          <w:tcPr>
            <w:tcW w:w="2249" w:type="dxa"/>
          </w:tcPr>
          <w:p w:rsidR="00C47610" w:rsidRPr="00687CDA" w:rsidRDefault="00C47610" w:rsidP="00135554">
            <w:pPr>
              <w:pStyle w:val="BodyText"/>
              <w:rPr>
                <w:sz w:val="20"/>
              </w:rPr>
            </w:pPr>
          </w:p>
        </w:tc>
        <w:tc>
          <w:tcPr>
            <w:tcW w:w="2020" w:type="dxa"/>
          </w:tcPr>
          <w:p w:rsidR="00C47610" w:rsidRPr="00687CDA" w:rsidRDefault="00C47610" w:rsidP="00C47610">
            <w:pPr>
              <w:pStyle w:val="BodyText"/>
              <w:jc w:val="center"/>
              <w:rPr>
                <w:sz w:val="20"/>
              </w:rPr>
            </w:pPr>
          </w:p>
        </w:tc>
        <w:tc>
          <w:tcPr>
            <w:tcW w:w="2331" w:type="dxa"/>
          </w:tcPr>
          <w:p w:rsidR="00C47610" w:rsidRPr="00687CDA" w:rsidRDefault="00C47610" w:rsidP="006849BD">
            <w:pPr>
              <w:pStyle w:val="BodyText"/>
              <w:jc w:val="center"/>
              <w:rPr>
                <w:sz w:val="20"/>
              </w:rPr>
            </w:pPr>
            <w:r w:rsidRPr="00687CDA">
              <w:rPr>
                <w:sz w:val="20"/>
              </w:rPr>
              <w:t>Number of devices requiring coverage class update (20%)</w:t>
            </w:r>
          </w:p>
        </w:tc>
        <w:tc>
          <w:tcPr>
            <w:tcW w:w="1884" w:type="dxa"/>
          </w:tcPr>
          <w:p w:rsidR="00C47610" w:rsidRPr="00687CDA" w:rsidRDefault="00C47610" w:rsidP="006849BD">
            <w:pPr>
              <w:pStyle w:val="BodyText"/>
              <w:jc w:val="center"/>
              <w:rPr>
                <w:sz w:val="20"/>
              </w:rPr>
            </w:pPr>
            <w:r w:rsidRPr="00687CDA">
              <w:rPr>
                <w:sz w:val="20"/>
              </w:rPr>
              <w:t>RACH</w:t>
            </w:r>
            <w:r w:rsidR="00687CDA">
              <w:rPr>
                <w:sz w:val="20"/>
              </w:rPr>
              <w:t>/AGCH</w:t>
            </w:r>
            <w:r w:rsidRPr="00687CDA">
              <w:rPr>
                <w:sz w:val="20"/>
              </w:rPr>
              <w:t xml:space="preserve"> load/day</w:t>
            </w:r>
          </w:p>
        </w:tc>
      </w:tr>
      <w:tr w:rsidR="006849BD" w:rsidTr="006849BD">
        <w:trPr>
          <w:jc w:val="center"/>
        </w:trPr>
        <w:tc>
          <w:tcPr>
            <w:tcW w:w="2249" w:type="dxa"/>
          </w:tcPr>
          <w:p w:rsidR="006849BD" w:rsidRPr="00687CDA" w:rsidRDefault="006849BD" w:rsidP="00135554">
            <w:pPr>
              <w:pStyle w:val="BodyText"/>
              <w:rPr>
                <w:sz w:val="20"/>
              </w:rPr>
            </w:pPr>
            <w:r w:rsidRPr="00687CDA">
              <w:rPr>
                <w:sz w:val="20"/>
              </w:rPr>
              <w:t>Triggering intervals</w:t>
            </w:r>
          </w:p>
        </w:tc>
        <w:tc>
          <w:tcPr>
            <w:tcW w:w="2020" w:type="dxa"/>
          </w:tcPr>
          <w:p w:rsidR="006849BD" w:rsidRPr="00687CDA" w:rsidRDefault="006849BD" w:rsidP="00C47610">
            <w:pPr>
              <w:pStyle w:val="BodyText"/>
              <w:jc w:val="center"/>
              <w:rPr>
                <w:sz w:val="20"/>
              </w:rPr>
            </w:pPr>
          </w:p>
        </w:tc>
        <w:tc>
          <w:tcPr>
            <w:tcW w:w="2331" w:type="dxa"/>
          </w:tcPr>
          <w:p w:rsidR="006849BD" w:rsidRPr="00687CDA" w:rsidRDefault="006849BD" w:rsidP="006849BD">
            <w:pPr>
              <w:pStyle w:val="BodyText"/>
              <w:jc w:val="center"/>
              <w:rPr>
                <w:sz w:val="20"/>
              </w:rPr>
            </w:pPr>
          </w:p>
        </w:tc>
        <w:tc>
          <w:tcPr>
            <w:tcW w:w="1884" w:type="dxa"/>
          </w:tcPr>
          <w:p w:rsidR="006849BD" w:rsidRPr="00687CDA" w:rsidRDefault="006849BD" w:rsidP="006849BD">
            <w:pPr>
              <w:pStyle w:val="BodyText"/>
              <w:jc w:val="center"/>
              <w:rPr>
                <w:sz w:val="20"/>
              </w:rPr>
            </w:pPr>
          </w:p>
        </w:tc>
      </w:tr>
      <w:tr w:rsidR="006849BD" w:rsidTr="006849BD">
        <w:trPr>
          <w:jc w:val="center"/>
        </w:trPr>
        <w:tc>
          <w:tcPr>
            <w:tcW w:w="2249" w:type="dxa"/>
          </w:tcPr>
          <w:p w:rsidR="006849BD" w:rsidRPr="00687CDA" w:rsidRDefault="006849BD" w:rsidP="006849BD">
            <w:pPr>
              <w:pStyle w:val="BodyText"/>
              <w:ind w:left="454"/>
              <w:rPr>
                <w:sz w:val="20"/>
              </w:rPr>
            </w:pPr>
            <w:r w:rsidRPr="00687CDA">
              <w:rPr>
                <w:sz w:val="20"/>
              </w:rPr>
              <w:t>30 min</w:t>
            </w:r>
          </w:p>
        </w:tc>
        <w:tc>
          <w:tcPr>
            <w:tcW w:w="2020" w:type="dxa"/>
          </w:tcPr>
          <w:p w:rsidR="006849BD" w:rsidRPr="00687CDA" w:rsidRDefault="006849BD" w:rsidP="00C47610">
            <w:pPr>
              <w:pStyle w:val="BodyText"/>
              <w:jc w:val="center"/>
              <w:rPr>
                <w:sz w:val="20"/>
              </w:rPr>
            </w:pPr>
            <w:r w:rsidRPr="00687CDA">
              <w:rPr>
                <w:sz w:val="20"/>
              </w:rPr>
              <w:t>5%</w:t>
            </w:r>
          </w:p>
        </w:tc>
        <w:tc>
          <w:tcPr>
            <w:tcW w:w="2331" w:type="dxa"/>
          </w:tcPr>
          <w:p w:rsidR="006849BD" w:rsidRPr="00687CDA" w:rsidRDefault="00551D23" w:rsidP="006849BD">
            <w:pPr>
              <w:pStyle w:val="BodyText"/>
              <w:jc w:val="center"/>
              <w:rPr>
                <w:sz w:val="20"/>
              </w:rPr>
            </w:pPr>
            <w:r w:rsidRPr="00687CDA">
              <w:rPr>
                <w:sz w:val="20"/>
              </w:rPr>
              <w:t>104</w:t>
            </w:r>
          </w:p>
        </w:tc>
        <w:tc>
          <w:tcPr>
            <w:tcW w:w="1884" w:type="dxa"/>
          </w:tcPr>
          <w:p w:rsidR="006849BD" w:rsidRPr="00687CDA" w:rsidRDefault="00FC76F3" w:rsidP="00551D23">
            <w:pPr>
              <w:pStyle w:val="BodyText"/>
              <w:jc w:val="center"/>
              <w:rPr>
                <w:sz w:val="20"/>
              </w:rPr>
            </w:pPr>
            <w:r w:rsidRPr="00687CDA">
              <w:rPr>
                <w:sz w:val="20"/>
              </w:rPr>
              <w:t>4992</w:t>
            </w:r>
          </w:p>
        </w:tc>
      </w:tr>
      <w:tr w:rsidR="006849BD" w:rsidTr="006849BD">
        <w:trPr>
          <w:jc w:val="center"/>
        </w:trPr>
        <w:tc>
          <w:tcPr>
            <w:tcW w:w="2249" w:type="dxa"/>
          </w:tcPr>
          <w:p w:rsidR="006849BD" w:rsidRPr="00687CDA" w:rsidRDefault="006849BD" w:rsidP="006849BD">
            <w:pPr>
              <w:pStyle w:val="BodyText"/>
              <w:ind w:left="454"/>
              <w:rPr>
                <w:sz w:val="20"/>
              </w:rPr>
            </w:pPr>
            <w:r w:rsidRPr="00687CDA">
              <w:rPr>
                <w:sz w:val="20"/>
              </w:rPr>
              <w:t>1 hour</w:t>
            </w:r>
          </w:p>
        </w:tc>
        <w:tc>
          <w:tcPr>
            <w:tcW w:w="2020" w:type="dxa"/>
          </w:tcPr>
          <w:p w:rsidR="006849BD" w:rsidRPr="00687CDA" w:rsidRDefault="006849BD" w:rsidP="00C47610">
            <w:pPr>
              <w:pStyle w:val="BodyText"/>
              <w:jc w:val="center"/>
              <w:rPr>
                <w:sz w:val="20"/>
              </w:rPr>
            </w:pPr>
            <w:r w:rsidRPr="00687CDA">
              <w:rPr>
                <w:sz w:val="20"/>
              </w:rPr>
              <w:t>15 %</w:t>
            </w:r>
          </w:p>
        </w:tc>
        <w:tc>
          <w:tcPr>
            <w:tcW w:w="2331" w:type="dxa"/>
          </w:tcPr>
          <w:p w:rsidR="006849BD" w:rsidRPr="00687CDA" w:rsidRDefault="00551D23" w:rsidP="006849BD">
            <w:pPr>
              <w:pStyle w:val="BodyText"/>
              <w:jc w:val="center"/>
              <w:rPr>
                <w:sz w:val="20"/>
              </w:rPr>
            </w:pPr>
            <w:r w:rsidRPr="00687CDA">
              <w:rPr>
                <w:sz w:val="20"/>
              </w:rPr>
              <w:t>312</w:t>
            </w:r>
          </w:p>
        </w:tc>
        <w:tc>
          <w:tcPr>
            <w:tcW w:w="1884" w:type="dxa"/>
          </w:tcPr>
          <w:p w:rsidR="006849BD" w:rsidRPr="00687CDA" w:rsidRDefault="00551D23" w:rsidP="00551D23">
            <w:pPr>
              <w:pStyle w:val="BodyText"/>
              <w:jc w:val="center"/>
              <w:rPr>
                <w:sz w:val="20"/>
              </w:rPr>
            </w:pPr>
            <w:r w:rsidRPr="00687CDA">
              <w:rPr>
                <w:sz w:val="20"/>
              </w:rPr>
              <w:t>7488</w:t>
            </w:r>
          </w:p>
        </w:tc>
      </w:tr>
      <w:tr w:rsidR="006849BD" w:rsidTr="006849BD">
        <w:trPr>
          <w:jc w:val="center"/>
        </w:trPr>
        <w:tc>
          <w:tcPr>
            <w:tcW w:w="2249" w:type="dxa"/>
          </w:tcPr>
          <w:p w:rsidR="006849BD" w:rsidRPr="00687CDA" w:rsidRDefault="006849BD" w:rsidP="006849BD">
            <w:pPr>
              <w:pStyle w:val="BodyText"/>
              <w:ind w:left="454"/>
              <w:rPr>
                <w:sz w:val="20"/>
              </w:rPr>
            </w:pPr>
            <w:r w:rsidRPr="00687CDA">
              <w:rPr>
                <w:sz w:val="20"/>
              </w:rPr>
              <w:t>2 hours</w:t>
            </w:r>
          </w:p>
        </w:tc>
        <w:tc>
          <w:tcPr>
            <w:tcW w:w="2020" w:type="dxa"/>
          </w:tcPr>
          <w:p w:rsidR="006849BD" w:rsidRPr="00687CDA" w:rsidRDefault="006849BD" w:rsidP="00C47610">
            <w:pPr>
              <w:pStyle w:val="BodyText"/>
              <w:jc w:val="center"/>
              <w:rPr>
                <w:sz w:val="20"/>
              </w:rPr>
            </w:pPr>
            <w:r w:rsidRPr="00687CDA">
              <w:rPr>
                <w:sz w:val="20"/>
              </w:rPr>
              <w:t>40%</w:t>
            </w:r>
          </w:p>
        </w:tc>
        <w:tc>
          <w:tcPr>
            <w:tcW w:w="2331" w:type="dxa"/>
          </w:tcPr>
          <w:p w:rsidR="006849BD" w:rsidRPr="00687CDA" w:rsidRDefault="00551D23" w:rsidP="006849BD">
            <w:pPr>
              <w:pStyle w:val="BodyText"/>
              <w:jc w:val="center"/>
              <w:rPr>
                <w:sz w:val="20"/>
              </w:rPr>
            </w:pPr>
            <w:r w:rsidRPr="00687CDA">
              <w:rPr>
                <w:sz w:val="20"/>
              </w:rPr>
              <w:t>832</w:t>
            </w:r>
          </w:p>
        </w:tc>
        <w:tc>
          <w:tcPr>
            <w:tcW w:w="1884" w:type="dxa"/>
          </w:tcPr>
          <w:p w:rsidR="006849BD" w:rsidRPr="00687CDA" w:rsidRDefault="00551D23" w:rsidP="00551D23">
            <w:pPr>
              <w:pStyle w:val="BodyText"/>
              <w:jc w:val="center"/>
              <w:rPr>
                <w:sz w:val="20"/>
              </w:rPr>
            </w:pPr>
            <w:r w:rsidRPr="00687CDA">
              <w:rPr>
                <w:sz w:val="20"/>
              </w:rPr>
              <w:t>9984</w:t>
            </w:r>
          </w:p>
        </w:tc>
      </w:tr>
      <w:tr w:rsidR="006849BD" w:rsidTr="00687CDA">
        <w:trPr>
          <w:jc w:val="center"/>
        </w:trPr>
        <w:tc>
          <w:tcPr>
            <w:tcW w:w="2249" w:type="dxa"/>
            <w:tcBorders>
              <w:bottom w:val="single" w:sz="12" w:space="0" w:color="auto"/>
            </w:tcBorders>
          </w:tcPr>
          <w:p w:rsidR="006849BD" w:rsidRPr="00687CDA" w:rsidRDefault="006849BD" w:rsidP="006849BD">
            <w:pPr>
              <w:pStyle w:val="BodyText"/>
              <w:ind w:left="454"/>
              <w:rPr>
                <w:sz w:val="20"/>
              </w:rPr>
            </w:pPr>
            <w:r w:rsidRPr="00687CDA">
              <w:rPr>
                <w:sz w:val="20"/>
              </w:rPr>
              <w:lastRenderedPageBreak/>
              <w:t>1 day</w:t>
            </w:r>
          </w:p>
        </w:tc>
        <w:tc>
          <w:tcPr>
            <w:tcW w:w="2020" w:type="dxa"/>
            <w:tcBorders>
              <w:bottom w:val="single" w:sz="12" w:space="0" w:color="auto"/>
            </w:tcBorders>
          </w:tcPr>
          <w:p w:rsidR="006849BD" w:rsidRPr="00687CDA" w:rsidRDefault="006849BD" w:rsidP="00C47610">
            <w:pPr>
              <w:pStyle w:val="BodyText"/>
              <w:jc w:val="center"/>
              <w:rPr>
                <w:sz w:val="20"/>
              </w:rPr>
            </w:pPr>
            <w:r w:rsidRPr="00687CDA">
              <w:rPr>
                <w:sz w:val="20"/>
              </w:rPr>
              <w:t>40 %</w:t>
            </w:r>
          </w:p>
        </w:tc>
        <w:tc>
          <w:tcPr>
            <w:tcW w:w="2331" w:type="dxa"/>
            <w:tcBorders>
              <w:bottom w:val="single" w:sz="12" w:space="0" w:color="auto"/>
            </w:tcBorders>
          </w:tcPr>
          <w:p w:rsidR="006849BD" w:rsidRPr="00687CDA" w:rsidRDefault="00551D23" w:rsidP="006849BD">
            <w:pPr>
              <w:pStyle w:val="BodyText"/>
              <w:jc w:val="center"/>
              <w:rPr>
                <w:sz w:val="20"/>
              </w:rPr>
            </w:pPr>
            <w:r w:rsidRPr="00687CDA">
              <w:rPr>
                <w:sz w:val="20"/>
              </w:rPr>
              <w:t>832</w:t>
            </w:r>
          </w:p>
        </w:tc>
        <w:tc>
          <w:tcPr>
            <w:tcW w:w="1884" w:type="dxa"/>
            <w:tcBorders>
              <w:bottom w:val="single" w:sz="12" w:space="0" w:color="auto"/>
            </w:tcBorders>
          </w:tcPr>
          <w:p w:rsidR="006849BD" w:rsidRPr="00687CDA" w:rsidRDefault="00551D23" w:rsidP="00551D23">
            <w:pPr>
              <w:pStyle w:val="BodyText"/>
              <w:jc w:val="center"/>
              <w:rPr>
                <w:sz w:val="20"/>
              </w:rPr>
            </w:pPr>
            <w:r w:rsidRPr="00687CDA">
              <w:rPr>
                <w:sz w:val="20"/>
              </w:rPr>
              <w:t>832</w:t>
            </w:r>
          </w:p>
        </w:tc>
      </w:tr>
      <w:tr w:rsidR="00687CDA" w:rsidTr="00687CDA">
        <w:trPr>
          <w:jc w:val="center"/>
        </w:trPr>
        <w:tc>
          <w:tcPr>
            <w:tcW w:w="2249" w:type="dxa"/>
            <w:tcBorders>
              <w:top w:val="single" w:sz="12" w:space="0" w:color="auto"/>
            </w:tcBorders>
          </w:tcPr>
          <w:p w:rsidR="00687CDA" w:rsidRPr="00687CDA" w:rsidRDefault="00687CDA" w:rsidP="006849BD">
            <w:pPr>
              <w:pStyle w:val="BodyText"/>
              <w:ind w:left="454"/>
              <w:rPr>
                <w:sz w:val="20"/>
              </w:rPr>
            </w:pPr>
            <w:r w:rsidRPr="00687CDA">
              <w:rPr>
                <w:sz w:val="20"/>
              </w:rPr>
              <w:t>Total RACH</w:t>
            </w:r>
            <w:r>
              <w:rPr>
                <w:sz w:val="20"/>
              </w:rPr>
              <w:t>/AGCH</w:t>
            </w:r>
            <w:r w:rsidRPr="00687CDA">
              <w:rPr>
                <w:sz w:val="20"/>
              </w:rPr>
              <w:t xml:space="preserve"> load</w:t>
            </w:r>
            <w:r>
              <w:rPr>
                <w:sz w:val="20"/>
              </w:rPr>
              <w:t>/sec</w:t>
            </w:r>
          </w:p>
        </w:tc>
        <w:tc>
          <w:tcPr>
            <w:tcW w:w="2020" w:type="dxa"/>
            <w:tcBorders>
              <w:top w:val="single" w:sz="12" w:space="0" w:color="auto"/>
            </w:tcBorders>
          </w:tcPr>
          <w:p w:rsidR="00687CDA" w:rsidRPr="00687CDA" w:rsidRDefault="00687CDA" w:rsidP="00C47610">
            <w:pPr>
              <w:pStyle w:val="BodyText"/>
              <w:jc w:val="center"/>
              <w:rPr>
                <w:sz w:val="20"/>
              </w:rPr>
            </w:pPr>
          </w:p>
        </w:tc>
        <w:tc>
          <w:tcPr>
            <w:tcW w:w="2331" w:type="dxa"/>
            <w:tcBorders>
              <w:top w:val="single" w:sz="12" w:space="0" w:color="auto"/>
            </w:tcBorders>
          </w:tcPr>
          <w:p w:rsidR="00687CDA" w:rsidRPr="00687CDA" w:rsidRDefault="00687CDA" w:rsidP="006849BD">
            <w:pPr>
              <w:pStyle w:val="BodyText"/>
              <w:jc w:val="center"/>
              <w:rPr>
                <w:sz w:val="20"/>
              </w:rPr>
            </w:pPr>
          </w:p>
        </w:tc>
        <w:tc>
          <w:tcPr>
            <w:tcW w:w="1884" w:type="dxa"/>
            <w:tcBorders>
              <w:top w:val="single" w:sz="12" w:space="0" w:color="auto"/>
              <w:bottom w:val="single" w:sz="4" w:space="0" w:color="auto"/>
            </w:tcBorders>
          </w:tcPr>
          <w:p w:rsidR="00687CDA" w:rsidRPr="00687CDA" w:rsidRDefault="00687CDA" w:rsidP="00551D23">
            <w:pPr>
              <w:pStyle w:val="BodyText"/>
              <w:jc w:val="center"/>
              <w:rPr>
                <w:sz w:val="20"/>
              </w:rPr>
            </w:pPr>
            <w:r>
              <w:rPr>
                <w:sz w:val="20"/>
              </w:rPr>
              <w:t>0.27</w:t>
            </w:r>
          </w:p>
        </w:tc>
      </w:tr>
    </w:tbl>
    <w:p w:rsidR="00687CDA" w:rsidRDefault="00687CDA" w:rsidP="00135554">
      <w:pPr>
        <w:pStyle w:val="BodyText"/>
      </w:pPr>
    </w:p>
    <w:p w:rsidR="00687CDA" w:rsidRDefault="00687CDA" w:rsidP="00135554">
      <w:pPr>
        <w:pStyle w:val="BodyText"/>
      </w:pPr>
      <w:r>
        <w:t>From the table is can be seen that with the assumption that every 5</w:t>
      </w:r>
      <w:r w:rsidRPr="00687CDA">
        <w:rPr>
          <w:vertAlign w:val="superscript"/>
        </w:rPr>
        <w:t>th</w:t>
      </w:r>
      <w:r>
        <w:t xml:space="preserve"> paging occurrence will lead to a  cell update the additional RACH/AGCH load is 0.27 access/sec which  is equivalent to an increase of </w:t>
      </w:r>
      <w:r w:rsidR="001E496C">
        <w:t xml:space="preserve">around </w:t>
      </w:r>
      <w:r>
        <w:t>4 %.  This additional signaling load is considered to be acceptable</w:t>
      </w:r>
      <w:r w:rsidR="006C0391">
        <w:t xml:space="preserve">. </w:t>
      </w:r>
      <w:r>
        <w:t xml:space="preserve"> </w:t>
      </w:r>
    </w:p>
    <w:p w:rsidR="001E496C" w:rsidRDefault="001E496C" w:rsidP="00135554">
      <w:pPr>
        <w:pStyle w:val="BodyText"/>
      </w:pPr>
      <w:r>
        <w:t>Also, is should also be noted that the assumption on 20% is considered very pessimistic.</w:t>
      </w:r>
    </w:p>
    <w:p w:rsidR="00C339F5" w:rsidRPr="00490541" w:rsidRDefault="00C339F5" w:rsidP="00C339F5">
      <w:pPr>
        <w:pStyle w:val="Heading3"/>
      </w:pPr>
      <w:r w:rsidRPr="00490541">
        <w:t>Transaction Time Update of DL CC</w:t>
      </w:r>
    </w:p>
    <w:p w:rsidR="00C339F5" w:rsidRDefault="000008A8" w:rsidP="00C339F5">
      <w:r>
        <w:t xml:space="preserve">Whenever </w:t>
      </w:r>
      <w:r w:rsidR="00C339F5" w:rsidRPr="00490541">
        <w:t>the coverage class has improved such that the EC-GSM device will be able to decode the paging message using</w:t>
      </w:r>
      <w:r>
        <w:t xml:space="preserve"> a smaller number of repetitions </w:t>
      </w:r>
      <w:r w:rsidR="000F4F97">
        <w:t>there is</w:t>
      </w:r>
      <w:r>
        <w:t xml:space="preserve"> in principal no need to update the DL coverage class just prior to the paging unless there is a need to saving paging bandwidth.   In such scenarios, t</w:t>
      </w:r>
      <w:r w:rsidR="00C339F5" w:rsidRPr="00490541">
        <w:t>he device can wait until the next uplink transaction to inform the SGSN of the new DL CC (i.e. instead of performing a cell update shortly before its next nominal pagin</w:t>
      </w:r>
      <w:r>
        <w:t>g group as per the 2</w:t>
      </w:r>
      <w:r w:rsidR="00C339F5" w:rsidRPr="00490541">
        <w:t>.1.1). This is possible because it can safely continue to use its current DL CC to read paging messages since the device is currently in better coverage class than what the SGSN currently assumes</w:t>
      </w:r>
      <w:r w:rsidR="00135554">
        <w:t xml:space="preserve"> </w:t>
      </w:r>
      <w:r w:rsidR="00135554">
        <w:fldChar w:fldCharType="begin"/>
      </w:r>
      <w:r w:rsidR="00135554">
        <w:instrText xml:space="preserve"> REF _Ref410120946 \r \h </w:instrText>
      </w:r>
      <w:r w:rsidR="00135554">
        <w:fldChar w:fldCharType="separate"/>
      </w:r>
      <w:r w:rsidR="00135554">
        <w:t>[4]</w:t>
      </w:r>
      <w:r w:rsidR="00135554">
        <w:fldChar w:fldCharType="end"/>
      </w:r>
      <w:r w:rsidR="00C339F5" w:rsidRPr="00490541">
        <w:t>.</w:t>
      </w:r>
    </w:p>
    <w:p w:rsidR="00735682" w:rsidRPr="00735682" w:rsidRDefault="000008A8" w:rsidP="00735682">
      <w:r>
        <w:t>The most straight f</w:t>
      </w:r>
      <w:r w:rsidR="000F4F97">
        <w:t>orward way to provide the SGSN</w:t>
      </w:r>
      <w:r>
        <w:t xml:space="preserve"> with the new coverage class is to include </w:t>
      </w:r>
      <w:r w:rsidR="000F4F97">
        <w:t xml:space="preserve">a new IE in the </w:t>
      </w:r>
      <w:r w:rsidR="00C339F5">
        <w:rPr>
          <w:lang w:val="en-GB" w:eastAsia="ko-KR"/>
        </w:rPr>
        <w:t xml:space="preserve">UL-UNITDATA PDU which transfers </w:t>
      </w:r>
      <w:r w:rsidR="00C339F5" w:rsidRPr="009F4B83">
        <w:t>an MS's LLC-PDU and its associated radio interface information across the Gb-interface</w:t>
      </w:r>
      <w:r w:rsidR="000F4F97">
        <w:t>.  This realization is possible since w</w:t>
      </w:r>
      <w:r w:rsidR="00C339F5">
        <w:t>henever an EC-GSM device accesses the system it s</w:t>
      </w:r>
      <w:r w:rsidR="006C0391">
        <w:t xml:space="preserve">ends a RACH request to the BSS </w:t>
      </w:r>
      <w:r w:rsidR="00C339F5">
        <w:t>including an indication of its estimated DL CC</w:t>
      </w:r>
      <w:r w:rsidR="000F4F97">
        <w:t xml:space="preserve"> </w:t>
      </w:r>
      <w:r w:rsidR="00135554">
        <w:fldChar w:fldCharType="begin"/>
      </w:r>
      <w:r w:rsidR="00135554">
        <w:instrText xml:space="preserve"> REF _Ref410120974 \r \h </w:instrText>
      </w:r>
      <w:r w:rsidR="00135554">
        <w:fldChar w:fldCharType="separate"/>
      </w:r>
      <w:r w:rsidR="00135554">
        <w:t>[5]</w:t>
      </w:r>
      <w:r w:rsidR="00135554">
        <w:fldChar w:fldCharType="end"/>
      </w:r>
      <w:r w:rsidR="00135554">
        <w:t xml:space="preserve"> </w:t>
      </w:r>
      <w:r w:rsidR="00C339F5">
        <w:t xml:space="preserve">in order for the BSS to be </w:t>
      </w:r>
      <w:r w:rsidR="00C339F5" w:rsidRPr="00490541">
        <w:t xml:space="preserve">able to properly assign resources as well as send the Immediate Assignment message with the appropriate number of repetitions. This means that whenever an EC-GSM device sends uplink data the BSS may add the latest coverage class information to the UL-UNITDATA PDU it sends to the SGSN. </w:t>
      </w:r>
    </w:p>
    <w:p w:rsidR="009C06D9" w:rsidRDefault="007C3A1E" w:rsidP="00A12F06">
      <w:pPr>
        <w:pStyle w:val="Heading1"/>
      </w:pPr>
      <w:r>
        <w:t>Conclusions</w:t>
      </w:r>
    </w:p>
    <w:p w:rsidR="00735682" w:rsidRPr="00642E6B" w:rsidRDefault="00735682" w:rsidP="00735682">
      <w:r>
        <w:t>In order to ensure t</w:t>
      </w:r>
      <w:r>
        <w:rPr>
          <w:lang w:val="en-GB"/>
        </w:rPr>
        <w:t xml:space="preserve">hat the SGSN always sends a paging request to the BSS indicating a coverage class sufficient (equal to or higher) for the BSS to be able to successfully page a device in extended coverage it is proposed to adopt both the </w:t>
      </w:r>
      <w:r>
        <w:t xml:space="preserve">Pre-Paging Group Update of downlink coverage class and the transaction time update </w:t>
      </w:r>
      <w:r w:rsidR="004E4EDA">
        <w:t>downlink</w:t>
      </w:r>
      <w:r>
        <w:t xml:space="preserve"> solutions as parts of the </w:t>
      </w:r>
      <w:r w:rsidR="00F606A2">
        <w:t>procedures applicable</w:t>
      </w:r>
      <w:r>
        <w:t xml:space="preserve"> to all </w:t>
      </w:r>
      <w:r w:rsidR="001E6C07">
        <w:t xml:space="preserve">candidate solutions. </w:t>
      </w:r>
    </w:p>
    <w:p w:rsidR="008317F7" w:rsidRDefault="008317F7" w:rsidP="008317F7">
      <w:pPr>
        <w:pStyle w:val="Heading1"/>
      </w:pPr>
      <w:r>
        <w:t>References</w:t>
      </w:r>
    </w:p>
    <w:bookmarkStart w:id="0"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(FS_IoT_LC) (revision of GP-140418)</w:t>
      </w:r>
      <w:r>
        <w:t xml:space="preserve">”, source </w:t>
      </w:r>
      <w:r w:rsidRPr="001E1433">
        <w:rPr>
          <w:u w:val="single"/>
        </w:rPr>
        <w:t>VODAFONE</w:t>
      </w:r>
      <w:r w:rsidRPr="005D3FC4">
        <w:t xml:space="preserve"> Group Plc.</w:t>
      </w:r>
      <w:r>
        <w:t xml:space="preserve"> GERAN#62</w:t>
      </w:r>
      <w:bookmarkEnd w:id="0"/>
      <w:r>
        <w:t>.</w:t>
      </w:r>
    </w:p>
    <w:p w:rsidR="000054A2" w:rsidRPr="000054A2" w:rsidRDefault="000054A2" w:rsidP="000054A2">
      <w:pPr>
        <w:pStyle w:val="Reference"/>
      </w:pPr>
      <w:bookmarkStart w:id="1" w:name="_Ref410118361"/>
      <w:bookmarkStart w:id="2" w:name="_Ref410081430"/>
      <w:bookmarkStart w:id="3" w:name="_Ref409985205"/>
      <w:r>
        <w:lastRenderedPageBreak/>
        <w:t>GPC-150</w:t>
      </w:r>
      <w:r w:rsidR="00E33A92">
        <w:t>065</w:t>
      </w:r>
      <w:r>
        <w:t>, “</w:t>
      </w:r>
      <w:r w:rsidRPr="000054A2">
        <w:t>EC-GSM, Realizing extended coverage through Coverage Classes</w:t>
      </w:r>
      <w:r>
        <w:t xml:space="preserve">”, source </w:t>
      </w:r>
      <w:r w:rsidRPr="000054A2">
        <w:tab/>
        <w:t>Ericsson LM</w:t>
      </w:r>
      <w:r>
        <w:t>, C</w:t>
      </w:r>
      <w:bookmarkStart w:id="4" w:name="_GoBack"/>
      <w:bookmarkEnd w:id="4"/>
      <w:r>
        <w:t>ellular IoT adhoc#1</w:t>
      </w:r>
      <w:bookmarkEnd w:id="1"/>
    </w:p>
    <w:p w:rsidR="00135554" w:rsidRPr="009528F0" w:rsidRDefault="009528F0" w:rsidP="00135554">
      <w:pPr>
        <w:pStyle w:val="Reference"/>
      </w:pPr>
      <w:bookmarkStart w:id="5" w:name="_Ref410120913"/>
      <w:bookmarkStart w:id="6" w:name="_Ref410120206"/>
      <w:bookmarkStart w:id="7" w:name="_Ref410119993"/>
      <w:bookmarkEnd w:id="2"/>
      <w:r>
        <w:t xml:space="preserve">GPC150009, </w:t>
      </w:r>
      <w:r w:rsidRPr="00235394">
        <w:t xml:space="preserve">3GPP TR </w:t>
      </w:r>
      <w:r>
        <w:t>45.820</w:t>
      </w:r>
      <w:r w:rsidRPr="00235394">
        <w:t xml:space="preserve"> </w:t>
      </w:r>
      <w:r>
        <w:t>V0.3.0</w:t>
      </w:r>
      <w:r w:rsidRPr="00235394">
        <w:t xml:space="preserve"> </w:t>
      </w:r>
      <w:r w:rsidRPr="00BF01C5">
        <w:t>(2015-03)</w:t>
      </w:r>
      <w:r>
        <w:t xml:space="preserve">, Source Vodafone, </w:t>
      </w:r>
      <w:r>
        <w:rPr>
          <w:rFonts w:ascii="Arial" w:hAnsi="Arial" w:cs="Arial"/>
          <w:color w:val="000000"/>
          <w:sz w:val="20"/>
          <w:szCs w:val="20"/>
        </w:rPr>
        <w:t xml:space="preserve">GERAN Ad Hoc#1 on </w:t>
      </w:r>
      <w:proofErr w:type="spellStart"/>
      <w:r>
        <w:rPr>
          <w:rFonts w:ascii="Arial" w:hAnsi="Arial" w:cs="Arial"/>
          <w:color w:val="000000"/>
          <w:sz w:val="20"/>
          <w:szCs w:val="20"/>
        </w:rPr>
        <w:t>FS_IoT_LC</w:t>
      </w:r>
      <w:proofErr w:type="spellEnd"/>
      <w:r w:rsidRPr="009528F0">
        <w:t xml:space="preserve"> </w:t>
      </w:r>
      <w:r w:rsidR="00135554" w:rsidRPr="009528F0">
        <w:t>7</w:t>
      </w:r>
      <w:bookmarkEnd w:id="5"/>
    </w:p>
    <w:p w:rsidR="000F4F97" w:rsidRPr="009528F0" w:rsidRDefault="000F4F97" w:rsidP="000F4F97">
      <w:pPr>
        <w:pStyle w:val="Reference"/>
        <w:rPr>
          <w:rFonts w:cstheme="minorHAnsi"/>
        </w:rPr>
      </w:pPr>
      <w:bookmarkStart w:id="8" w:name="_Ref410120946"/>
      <w:r w:rsidRPr="009528F0">
        <w:rPr>
          <w:rFonts w:cstheme="minorHAnsi"/>
        </w:rPr>
        <w:t>GPC-150</w:t>
      </w:r>
      <w:r w:rsidR="00E33A92" w:rsidRPr="009528F0">
        <w:rPr>
          <w:rFonts w:cstheme="minorHAnsi"/>
          <w:color w:val="000000"/>
        </w:rPr>
        <w:t>081</w:t>
      </w:r>
      <w:r w:rsidRPr="009528F0">
        <w:rPr>
          <w:rFonts w:cstheme="minorHAnsi"/>
        </w:rPr>
        <w:t xml:space="preserve">, “EC-GSM, </w:t>
      </w:r>
      <w:proofErr w:type="spellStart"/>
      <w:r w:rsidRPr="009528F0">
        <w:rPr>
          <w:rFonts w:cstheme="minorHAnsi"/>
        </w:rPr>
        <w:t>eDRX</w:t>
      </w:r>
      <w:proofErr w:type="spellEnd"/>
      <w:r w:rsidRPr="009528F0">
        <w:rPr>
          <w:rFonts w:cstheme="minorHAnsi"/>
        </w:rPr>
        <w:t xml:space="preserve"> and TDMA FN space wrap around”, Source Ericsson LM, Cellular IoT adhoc#1</w:t>
      </w:r>
      <w:bookmarkEnd w:id="6"/>
      <w:bookmarkEnd w:id="8"/>
    </w:p>
    <w:p w:rsidR="001E1433" w:rsidRPr="009528F0" w:rsidRDefault="000F4F97" w:rsidP="000F4F97">
      <w:pPr>
        <w:pStyle w:val="Reference"/>
        <w:rPr>
          <w:rFonts w:cstheme="minorHAnsi"/>
        </w:rPr>
      </w:pPr>
      <w:bookmarkStart w:id="9" w:name="_Ref410120974"/>
      <w:r w:rsidRPr="009528F0">
        <w:rPr>
          <w:rFonts w:cstheme="minorHAnsi"/>
        </w:rPr>
        <w:t>GPC-150</w:t>
      </w:r>
      <w:r w:rsidR="00E33A92" w:rsidRPr="009528F0">
        <w:rPr>
          <w:rFonts w:cstheme="minorHAnsi"/>
        </w:rPr>
        <w:t>074</w:t>
      </w:r>
      <w:r w:rsidR="001E1433" w:rsidRPr="009528F0">
        <w:rPr>
          <w:rFonts w:cstheme="minorHAnsi"/>
        </w:rPr>
        <w:t>, “</w:t>
      </w:r>
      <w:r w:rsidRPr="009528F0">
        <w:rPr>
          <w:rFonts w:cstheme="minorHAnsi"/>
        </w:rPr>
        <w:t>EC-GSM, Random Access Procedure</w:t>
      </w:r>
      <w:r w:rsidR="001E1433" w:rsidRPr="009528F0">
        <w:rPr>
          <w:rFonts w:cstheme="minorHAnsi"/>
        </w:rPr>
        <w:t xml:space="preserve">”, </w:t>
      </w:r>
      <w:r w:rsidR="001E1433" w:rsidRPr="009528F0">
        <w:rPr>
          <w:rFonts w:cstheme="minorHAnsi"/>
        </w:rPr>
        <w:tab/>
        <w:t xml:space="preserve"> source Ericsson, </w:t>
      </w:r>
      <w:bookmarkEnd w:id="7"/>
      <w:r w:rsidRPr="009528F0">
        <w:rPr>
          <w:rFonts w:cstheme="minorHAnsi"/>
        </w:rPr>
        <w:t>Cellular IoT adhoc#1</w:t>
      </w:r>
      <w:bookmarkEnd w:id="9"/>
    </w:p>
    <w:p w:rsidR="00846422" w:rsidRPr="009528F0" w:rsidRDefault="00846422" w:rsidP="000F4F97">
      <w:pPr>
        <w:pStyle w:val="Reference"/>
        <w:rPr>
          <w:rFonts w:cstheme="minorHAnsi"/>
        </w:rPr>
      </w:pPr>
      <w:bookmarkStart w:id="10" w:name="_Ref410173244"/>
      <w:r w:rsidRPr="009528F0">
        <w:rPr>
          <w:rFonts w:cstheme="minorHAnsi"/>
        </w:rPr>
        <w:t xml:space="preserve">GPC150086, “EC-GSM, Paging group determination“, source Ericsson LM. GERAN Ad Hoc#1 on </w:t>
      </w:r>
      <w:proofErr w:type="spellStart"/>
      <w:r w:rsidRPr="009528F0">
        <w:rPr>
          <w:rFonts w:cstheme="minorHAnsi"/>
        </w:rPr>
        <w:t>FS_IoT_LC</w:t>
      </w:r>
      <w:proofErr w:type="spellEnd"/>
      <w:r w:rsidRPr="009528F0">
        <w:rPr>
          <w:rFonts w:cstheme="minorHAnsi"/>
        </w:rPr>
        <w:t>.</w:t>
      </w:r>
      <w:bookmarkEnd w:id="10"/>
    </w:p>
    <w:bookmarkEnd w:id="3"/>
    <w:p w:rsidR="00C06DB8" w:rsidRPr="008317F7" w:rsidRDefault="00C06DB8" w:rsidP="000F4F97">
      <w:pPr>
        <w:pStyle w:val="Reference"/>
        <w:numPr>
          <w:ilvl w:val="0"/>
          <w:numId w:val="0"/>
        </w:numPr>
      </w:pPr>
    </w:p>
    <w:sectPr w:rsidR="00C06DB8" w:rsidRPr="008317F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88C" w:rsidRDefault="007D288C">
      <w:r>
        <w:separator/>
      </w:r>
    </w:p>
  </w:endnote>
  <w:endnote w:type="continuationSeparator" w:id="0">
    <w:p w:rsidR="007D288C" w:rsidRDefault="007D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528F0">
      <w:rPr>
        <w:rStyle w:val="PageNumber"/>
        <w:noProof/>
      </w:rPr>
      <w:t>3</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8F0">
      <w:rPr>
        <w:rStyle w:val="PageNumber"/>
        <w:noProof/>
      </w:rPr>
      <w:t>4</w:t>
    </w:r>
    <w:r>
      <w:rPr>
        <w:rStyle w:val="PageNumber"/>
      </w:rPr>
      <w:fldChar w:fldCharType="end"/>
    </w:r>
    <w:r>
      <w:rPr>
        <w:rStyle w:val="PageNumber"/>
      </w:rPr>
      <w:t>)</w:t>
    </w:r>
    <w:bookmarkEnd w:id="11"/>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9528F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8F0">
      <w:rPr>
        <w:rStyle w:val="PageNumber"/>
        <w:noProof/>
      </w:rPr>
      <w:t>1</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88C" w:rsidRDefault="007D288C">
      <w:r>
        <w:separator/>
      </w:r>
    </w:p>
  </w:footnote>
  <w:footnote w:type="continuationSeparator" w:id="0">
    <w:p w:rsidR="007D288C" w:rsidRDefault="007D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D8307C" w:rsidRDefault="003E6F44" w:rsidP="00EA60C1">
    <w:pPr>
      <w:pStyle w:val="Header"/>
    </w:pPr>
    <w:r w:rsidRPr="00D8307C">
      <w:t xml:space="preserve">3GPP TSG GERAN Ad Hoc#1 on </w:t>
    </w:r>
    <w:proofErr w:type="spellStart"/>
    <w:r w:rsidRPr="00D8307C">
      <w:t>FS_IoT_LC</w:t>
    </w:r>
    <w:proofErr w:type="spellEnd"/>
    <w:r w:rsidRPr="00D8307C">
      <w:tab/>
    </w:r>
    <w:r w:rsidRPr="00D8307C">
      <w:tab/>
    </w:r>
    <w:proofErr w:type="spellStart"/>
    <w:r w:rsidRPr="00D8307C">
      <w:t>Tdoc</w:t>
    </w:r>
    <w:proofErr w:type="spellEnd"/>
    <w:r w:rsidRPr="00D8307C">
      <w:t xml:space="preserve"> GP</w:t>
    </w:r>
    <w:r>
      <w:t>C150</w:t>
    </w:r>
    <w:r w:rsidR="00E51C57">
      <w:t>077</w:t>
    </w:r>
  </w:p>
  <w:p w:rsidR="003E6F44" w:rsidRPr="00D8307C"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8317F7" w:rsidRDefault="003E6F44" w:rsidP="0015360B">
    <w:pPr>
      <w:pStyle w:val="Header"/>
      <w:spacing w:after="0"/>
    </w:pPr>
    <w:r w:rsidRPr="008317F7">
      <w:t xml:space="preserve">3GPP TSG GERAN Ad Hoc#1 on </w:t>
    </w:r>
    <w:proofErr w:type="spellStart"/>
    <w:r w:rsidRPr="008317F7">
      <w:t>FS_IoT_LC</w:t>
    </w:r>
    <w:proofErr w:type="spellEnd"/>
    <w:r w:rsidRPr="008317F7">
      <w:tab/>
    </w:r>
    <w:r w:rsidRPr="008317F7">
      <w:tab/>
    </w:r>
    <w:proofErr w:type="spellStart"/>
    <w:r w:rsidRPr="008317F7">
      <w:t>Tdoc</w:t>
    </w:r>
    <w:proofErr w:type="spellEnd"/>
    <w:r w:rsidRPr="008317F7">
      <w:t xml:space="preserve"> GP</w:t>
    </w:r>
    <w:r>
      <w:t>C150</w:t>
    </w:r>
    <w:r w:rsidR="00E33A92">
      <w:t>077</w:t>
    </w:r>
  </w:p>
  <w:p w:rsidR="003E6F44" w:rsidRPr="00F171F5" w:rsidRDefault="003E6F44" w:rsidP="0015360B">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215004">
      <w:rPr>
        <w:lang w:val="it-IT"/>
      </w:rPr>
      <w:t>2.4.7</w:t>
    </w:r>
  </w:p>
  <w:p w:rsidR="003E6F44" w:rsidRPr="00454B41" w:rsidRDefault="003E6F44" w:rsidP="00454B41">
    <w:pPr>
      <w:pStyle w:val="Header"/>
      <w:spacing w:after="0"/>
      <w:rPr>
        <w:snapToGrid w:val="0"/>
      </w:rPr>
    </w:pPr>
    <w:r>
      <w:t>2</w:t>
    </w:r>
    <w:r w:rsidRPr="008317F7">
      <w:rPr>
        <w:vertAlign w:val="superscript"/>
      </w:rPr>
      <w:t>nd</w:t>
    </w:r>
    <w:r>
      <w:t xml:space="preserve"> </w:t>
    </w:r>
    <w:r w:rsidRPr="00264773">
      <w:t xml:space="preserve">– </w:t>
    </w:r>
    <w:r>
      <w:t>5</w:t>
    </w:r>
    <w:r w:rsidRPr="00B74E2C">
      <w:rPr>
        <w:vertAlign w:val="superscript"/>
      </w:rPr>
      <w:t>th</w:t>
    </w:r>
    <w:r>
      <w:t xml:space="preserve"> February</w:t>
    </w:r>
    <w:r w:rsidRPr="00264773">
      <w:t xml:space="preserve">, </w:t>
    </w:r>
    <w:r>
      <w:t>2015</w:t>
    </w:r>
    <w:r w:rsidRPr="00264773">
      <w:br/>
    </w:r>
    <w:bookmarkStart w:id="12" w:name="_Ref515183447"/>
    <w:bookmarkEnd w:id="12"/>
    <w:r w:rsidRPr="00264773">
      <w:t xml:space="preserve">Source: </w:t>
    </w:r>
    <w:r>
      <w:t>Ericsson</w:t>
    </w:r>
    <w:r w:rsidR="00852C5A">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5FD22F3"/>
    <w:multiLevelType w:val="hybridMultilevel"/>
    <w:tmpl w:val="08A2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DE2E46"/>
    <w:multiLevelType w:val="hybridMultilevel"/>
    <w:tmpl w:val="5FC6A232"/>
    <w:lvl w:ilvl="0" w:tplc="85A468F0">
      <w:numFmt w:val="bullet"/>
      <w:lvlText w:val="-"/>
      <w:lvlJc w:val="left"/>
      <w:pPr>
        <w:ind w:left="689" w:hanging="360"/>
      </w:pPr>
      <w:rPr>
        <w:rFonts w:ascii="Calibri" w:eastAsiaTheme="minorHAnsi" w:hAnsi="Calibri" w:cs="Calibri"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1">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8"/>
  </w:num>
  <w:num w:numId="10">
    <w:abstractNumId w:val="22"/>
  </w:num>
  <w:num w:numId="11">
    <w:abstractNumId w:val="11"/>
  </w:num>
  <w:num w:numId="12">
    <w:abstractNumId w:val="10"/>
  </w:num>
  <w:num w:numId="13">
    <w:abstractNumId w:val="0"/>
  </w:num>
  <w:num w:numId="14">
    <w:abstractNumId w:val="23"/>
  </w:num>
  <w:num w:numId="15">
    <w:abstractNumId w:val="21"/>
  </w:num>
  <w:num w:numId="16">
    <w:abstractNumId w:val="7"/>
  </w:num>
  <w:num w:numId="17">
    <w:abstractNumId w:val="15"/>
  </w:num>
  <w:num w:numId="18">
    <w:abstractNumId w:val="19"/>
  </w:num>
  <w:num w:numId="19">
    <w:abstractNumId w:val="13"/>
  </w:num>
  <w:num w:numId="20">
    <w:abstractNumId w:val="6"/>
  </w:num>
  <w:num w:numId="21">
    <w:abstractNumId w:val="12"/>
  </w:num>
  <w:num w:numId="22">
    <w:abstractNumId w:val="9"/>
  </w:num>
  <w:num w:numId="23">
    <w:abstractNumId w:val="20"/>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8A8"/>
    <w:rsid w:val="00001CD0"/>
    <w:rsid w:val="0000229F"/>
    <w:rsid w:val="0000262D"/>
    <w:rsid w:val="00003D56"/>
    <w:rsid w:val="00004093"/>
    <w:rsid w:val="000054A2"/>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632"/>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22A8"/>
    <w:rsid w:val="000E4DE7"/>
    <w:rsid w:val="000E52B9"/>
    <w:rsid w:val="000E7150"/>
    <w:rsid w:val="000E7410"/>
    <w:rsid w:val="000E7B3A"/>
    <w:rsid w:val="000F28EE"/>
    <w:rsid w:val="000F4D16"/>
    <w:rsid w:val="000F4F97"/>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5554"/>
    <w:rsid w:val="001368A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B04"/>
    <w:rsid w:val="00173BF5"/>
    <w:rsid w:val="00174A53"/>
    <w:rsid w:val="00175A90"/>
    <w:rsid w:val="0017652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B76B0"/>
    <w:rsid w:val="001C03F9"/>
    <w:rsid w:val="001C0F49"/>
    <w:rsid w:val="001C2F0C"/>
    <w:rsid w:val="001C34D8"/>
    <w:rsid w:val="001C4C18"/>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496C"/>
    <w:rsid w:val="001E50C4"/>
    <w:rsid w:val="001E5F92"/>
    <w:rsid w:val="001E62FE"/>
    <w:rsid w:val="001E6C07"/>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891"/>
    <w:rsid w:val="00215004"/>
    <w:rsid w:val="00216391"/>
    <w:rsid w:val="002163DA"/>
    <w:rsid w:val="002175C4"/>
    <w:rsid w:val="00217C4A"/>
    <w:rsid w:val="00220D2A"/>
    <w:rsid w:val="00222E59"/>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55FA"/>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BC0"/>
    <w:rsid w:val="00401B4C"/>
    <w:rsid w:val="00401D14"/>
    <w:rsid w:val="00402ED5"/>
    <w:rsid w:val="004038C3"/>
    <w:rsid w:val="00403A4E"/>
    <w:rsid w:val="00405C5B"/>
    <w:rsid w:val="00406BBF"/>
    <w:rsid w:val="00410FA3"/>
    <w:rsid w:val="0041212A"/>
    <w:rsid w:val="00412C79"/>
    <w:rsid w:val="004131DC"/>
    <w:rsid w:val="00413D3D"/>
    <w:rsid w:val="004149AC"/>
    <w:rsid w:val="00414A95"/>
    <w:rsid w:val="004170C4"/>
    <w:rsid w:val="00417764"/>
    <w:rsid w:val="00417771"/>
    <w:rsid w:val="00417899"/>
    <w:rsid w:val="00420564"/>
    <w:rsid w:val="00420E5E"/>
    <w:rsid w:val="00420EDA"/>
    <w:rsid w:val="00422D60"/>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EDA"/>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1D23"/>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49BD"/>
    <w:rsid w:val="00684E07"/>
    <w:rsid w:val="00685D10"/>
    <w:rsid w:val="00685F12"/>
    <w:rsid w:val="00686E96"/>
    <w:rsid w:val="00686EA0"/>
    <w:rsid w:val="00687AA2"/>
    <w:rsid w:val="00687CDA"/>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391"/>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7009CE"/>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82"/>
    <w:rsid w:val="007356E9"/>
    <w:rsid w:val="007376BA"/>
    <w:rsid w:val="007377AD"/>
    <w:rsid w:val="00740C62"/>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88C"/>
    <w:rsid w:val="007D2BB3"/>
    <w:rsid w:val="007D362F"/>
    <w:rsid w:val="007D3ABF"/>
    <w:rsid w:val="007D5CAE"/>
    <w:rsid w:val="007D5D77"/>
    <w:rsid w:val="007D6EAB"/>
    <w:rsid w:val="007E01FF"/>
    <w:rsid w:val="007E04B9"/>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4FE2"/>
    <w:rsid w:val="0084577C"/>
    <w:rsid w:val="00846422"/>
    <w:rsid w:val="008464CC"/>
    <w:rsid w:val="0084767C"/>
    <w:rsid w:val="00847770"/>
    <w:rsid w:val="00847B4E"/>
    <w:rsid w:val="00847BFD"/>
    <w:rsid w:val="00852183"/>
    <w:rsid w:val="00852C5A"/>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80188"/>
    <w:rsid w:val="0088144E"/>
    <w:rsid w:val="0088226C"/>
    <w:rsid w:val="00882F60"/>
    <w:rsid w:val="00883895"/>
    <w:rsid w:val="00883E2E"/>
    <w:rsid w:val="008854EF"/>
    <w:rsid w:val="00885AAF"/>
    <w:rsid w:val="00886750"/>
    <w:rsid w:val="00887089"/>
    <w:rsid w:val="00890121"/>
    <w:rsid w:val="00890C31"/>
    <w:rsid w:val="00892627"/>
    <w:rsid w:val="00894748"/>
    <w:rsid w:val="00894C37"/>
    <w:rsid w:val="008968E2"/>
    <w:rsid w:val="0089732A"/>
    <w:rsid w:val="008A06E1"/>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6EDB"/>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6E"/>
    <w:rsid w:val="00941DD9"/>
    <w:rsid w:val="00941FAA"/>
    <w:rsid w:val="00942C3E"/>
    <w:rsid w:val="00943598"/>
    <w:rsid w:val="00944024"/>
    <w:rsid w:val="00944766"/>
    <w:rsid w:val="009451B1"/>
    <w:rsid w:val="00945A81"/>
    <w:rsid w:val="0094661F"/>
    <w:rsid w:val="00947811"/>
    <w:rsid w:val="00947A2C"/>
    <w:rsid w:val="009501EE"/>
    <w:rsid w:val="00951037"/>
    <w:rsid w:val="00951101"/>
    <w:rsid w:val="009526C2"/>
    <w:rsid w:val="009528F0"/>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71FE"/>
    <w:rsid w:val="00A77903"/>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57B1"/>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1AB"/>
    <w:rsid w:val="00C26D8A"/>
    <w:rsid w:val="00C27258"/>
    <w:rsid w:val="00C279ED"/>
    <w:rsid w:val="00C3248B"/>
    <w:rsid w:val="00C339F5"/>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47610"/>
    <w:rsid w:val="00C500C4"/>
    <w:rsid w:val="00C501C3"/>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57E"/>
    <w:rsid w:val="00E26AF6"/>
    <w:rsid w:val="00E305B5"/>
    <w:rsid w:val="00E312DC"/>
    <w:rsid w:val="00E31D05"/>
    <w:rsid w:val="00E31EC2"/>
    <w:rsid w:val="00E32232"/>
    <w:rsid w:val="00E3299E"/>
    <w:rsid w:val="00E32E44"/>
    <w:rsid w:val="00E33A92"/>
    <w:rsid w:val="00E343FA"/>
    <w:rsid w:val="00E35F55"/>
    <w:rsid w:val="00E374EB"/>
    <w:rsid w:val="00E37B21"/>
    <w:rsid w:val="00E40A07"/>
    <w:rsid w:val="00E415C0"/>
    <w:rsid w:val="00E4357D"/>
    <w:rsid w:val="00E43DC7"/>
    <w:rsid w:val="00E45371"/>
    <w:rsid w:val="00E454B9"/>
    <w:rsid w:val="00E45874"/>
    <w:rsid w:val="00E458FB"/>
    <w:rsid w:val="00E47E03"/>
    <w:rsid w:val="00E5066F"/>
    <w:rsid w:val="00E5087F"/>
    <w:rsid w:val="00E50F03"/>
    <w:rsid w:val="00E5133F"/>
    <w:rsid w:val="00E51C57"/>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DEB"/>
    <w:rsid w:val="00F13F2E"/>
    <w:rsid w:val="00F14739"/>
    <w:rsid w:val="00F149EC"/>
    <w:rsid w:val="00F15556"/>
    <w:rsid w:val="00F15BB6"/>
    <w:rsid w:val="00F16A4C"/>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D7B"/>
    <w:rsid w:val="00F53566"/>
    <w:rsid w:val="00F53681"/>
    <w:rsid w:val="00F55C5F"/>
    <w:rsid w:val="00F604BD"/>
    <w:rsid w:val="00F606A2"/>
    <w:rsid w:val="00F60B3B"/>
    <w:rsid w:val="00F60CE3"/>
    <w:rsid w:val="00F61BE6"/>
    <w:rsid w:val="00F61C12"/>
    <w:rsid w:val="00F61E1F"/>
    <w:rsid w:val="00F62412"/>
    <w:rsid w:val="00F62D8C"/>
    <w:rsid w:val="00F6392F"/>
    <w:rsid w:val="00F64F32"/>
    <w:rsid w:val="00F653A3"/>
    <w:rsid w:val="00F65BB9"/>
    <w:rsid w:val="00F66BC4"/>
    <w:rsid w:val="00F67292"/>
    <w:rsid w:val="00F67E3D"/>
    <w:rsid w:val="00F70A9C"/>
    <w:rsid w:val="00F70D29"/>
    <w:rsid w:val="00F713F7"/>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5881"/>
    <w:rsid w:val="00FB6F7E"/>
    <w:rsid w:val="00FB7FC9"/>
    <w:rsid w:val="00FC187B"/>
    <w:rsid w:val="00FC341C"/>
    <w:rsid w:val="00FC37A9"/>
    <w:rsid w:val="00FC5CCA"/>
    <w:rsid w:val="00FC65C3"/>
    <w:rsid w:val="00FC65CD"/>
    <w:rsid w:val="00FC76F3"/>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8F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52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8F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link w:val="TAH"/>
    <w:rsid w:val="00C339F5"/>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8F0"/>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52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8F0"/>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link w:val="TAH"/>
    <w:rsid w:val="00C339F5"/>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11314481">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72E38-7E63-458A-A6E4-7595A401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7371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5</cp:revision>
  <cp:lastPrinted>2013-02-08T15:42:00Z</cp:lastPrinted>
  <dcterms:created xsi:type="dcterms:W3CDTF">2015-01-28T01:45:00Z</dcterms:created>
  <dcterms:modified xsi:type="dcterms:W3CDTF">2015-01-28T02:19:00Z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